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26 марта 2022</w:t>
      </w:r>
    </w:p>
    <w:p w14:paraId="71BD6481" w14:textId="6A00E009" w:rsidRDefault="00FA1D20" w:rsidP="008611B5">
      <w:pPr>
        <w:pStyle w:val="ab"/>
      </w:pPr>
      <w:r>
        <w:t>Важнейшие события в онкологии в 2021 году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Моисеенко Владимир Михайлович, проф., д.м.н., Директор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«Основные достижения в фундаментальной онкологии»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предполагается обсудить основные достижения в фундаментальной и трансляционной онкологии, достигнутые в течение 2021 года. Будут описаны предпосылки к проведению исследований, сформулированы ключевые вопросы, определившие целесообразность изучения каждой из обсуждаемых областей. Для каждого из выделенных достижений будет описана область клинического применения полученных вновь знаний.</w:t>
            </w:r>
          </w:p>
          <w:p w14:paraId="6DA4934B" w14:textId="2CADACF3" w:rsidRDefault="005A133E" w:rsidP="00FA1D20">
            <w:r>
              <w:t>Имянитов Евгений Наумович проф., чл.-корр. РАН, заведующий научным отделом биологии опухолевого роста, ФГБУ «НМИЦ онкологии им. Н.Н. Петрова» Минздрава России.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«Рак молочной железы»</w:t>
            </w:r>
          </w:p>
          <w:p w14:paraId="1B497F47" w14:textId="7011E34E" w:rsidRDefault="005A133E" w:rsidP="005A133E">
            <w:pPr>
              <w:pStyle w:val="a7"/>
            </w:pPr>
            <w:r>
              <w:t>Целью лекции является познакомить слушателя с основными достижениями в лечении опухолей молочной железы полученными в течение 2021 года. В лекции будут освещены исторические подходы и предпосылки к формированию тех результатов, которые были получены в прошлом году.</w:t>
            </w:r>
          </w:p>
          <w:p w14:paraId="6DA4934B" w14:textId="2CADACF3" w:rsidRDefault="005A133E" w:rsidP="00FA1D20">
            <w:r>
              <w:t>Тюляндин Сергей Алексеевич проф., д.м.н., Председатель Российского общества клинической онкологии (RUSSCO).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10:35-10:50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«Достоинства и недостатки моноиммунотерапии при НМРЛ»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«Рош» (не обеспечивается кредитами НМО)</w:t>
            </w:r>
          </w:p>
          <w:p w14:paraId="6DA4934B" w14:textId="2CADACF3" w:rsidRDefault="005A133E" w:rsidP="00FA1D20">
            <w:r>
              <w:t>Моисеенко Федор Владимирович д.м.н., заведующий отделением химиотерапии ГБУЗ «СПб КНпЦСВМП(о)». Профессор кафедры онкологии ФГБОУ ВО «Северо-Западный государственный медицинский университет имени И.И. Мечникова» Минздрава России.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10:50-11:05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«Современный взгляд на терапию РЖ поздних стадий»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«Лилли» (не обеспечивается кредитами НМО)</w:t>
            </w:r>
          </w:p>
          <w:p w14:paraId="6DA4934B" w14:textId="2CADACF3" w:rsidRDefault="005A133E" w:rsidP="00FA1D20">
            <w:r>
              <w:t>Орлов Сергей Владимирович проф., член-корреспондент РАН, д.м.н. Заместитель директора по онкологии, руководитель отделения химиотерапии НИИ хирургии и неотложной медицины ФПО ПСПбГМУ им. акад. И.П. Павлова.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«Неоправдавшиеся надежды в онкологии в 2021 году»</w:t>
            </w:r>
          </w:p>
          <w:p w14:paraId="1B497F47" w14:textId="7011E34E" w:rsidRDefault="005A133E" w:rsidP="005A133E">
            <w:pPr>
              <w:pStyle w:val="a7"/>
            </w:pPr>
            <w:r>
              <w:t>Лекция будет всецелом посвящена инновационным подходам и работам результаты которых не подтвердили поставленные задачи. В рамках выступления будут раскрыты принципиальные направления развития, а также ключевые вопросы, которые определяли выбор того или иного направления для исследований.</w:t>
            </w:r>
          </w:p>
          <w:p w14:paraId="6DA4934B" w14:textId="2CADACF3" w:rsidRDefault="005A133E" w:rsidP="00FA1D20">
            <w:r>
              <w:t>Моисеенко Федор Владимирович д.м.н., заведующий отделением химиотерапии ГБУЗ «СПб КНпЦСВМП(о)». Профессор кафедры онкологии ФГБОУ ВО «Северо-Западный государственный медицинский университет имени И.И. Мечникова» МР.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11:35-11:50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«Предклинические и клинические доказательства перспективности метаболической терапии рака»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будут сформулированы доклинические предпосылки к целесообразности применения препаратов направленно и не направленно модифицирующих различные метаболические процессы в организме человека. Будут представлены имеющиеся на настоящий момент данные об особенностях метаболизма опухолевых клеток и описаны ключевые возможности для его модификации с целью достижения противоопухолевого ответа.</w:t>
            </w:r>
          </w:p>
          <w:p w14:paraId="6DA4934B" w14:textId="2CADACF3" w:rsidRDefault="005A133E" w:rsidP="00FA1D20">
            <w:r>
              <w:t>Моисеенко Владимир Михайлович проф., д.м.н., Директор ГБУЗ «СПб 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12:20-12:35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«Лучевая терапия в 2021 году с прицелом на будущее»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представлена информация о недавних и наиболее интересных событиях, публикациях и исследованиях по лучевой терапии в 2021 году и обозначены возможные перспективные направления будущих исследований в этой области.</w:t>
            </w:r>
          </w:p>
          <w:p w14:paraId="6DA4934B" w14:textId="2CADACF3" w:rsidRDefault="005A133E" w:rsidP="00FA1D20">
            <w:r>
              <w:t>Деньгина Наталья Владимировна к.м.н., заведующая радиологическим отделением ГУЗ «Областной клинический онкологический диспансер». Ульяновск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13:20-13:35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«Спорные вопросы выбора терапии гормончувствительного РПЖ»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«Джонсон&amp;Джонсон» (не обеспечивается кредитами НМО).</w:t>
            </w:r>
          </w:p>
          <w:p w14:paraId="6DA4934B" w14:textId="2CADACF3" w:rsidRDefault="005A133E" w:rsidP="00FA1D20">
            <w:r>
              <w:t>Лебединец Андрей Александрович к.м.н., заведующий химиотерапевтическим отделением ДС ГБУЗ ЛОКОД.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13:35-14:05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«Перспективы использования двойной иммунотерапии при мНМРЛ.Опыт 2021года»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«БМС» (не обеспечивается кредитами НМО)</w:t>
            </w:r>
          </w:p>
          <w:p w14:paraId="6DA4934B" w14:textId="2CADACF3" w:rsidRDefault="005A133E" w:rsidP="00FA1D20">
            <w:r>
              <w:t>Жабина Альбина Сергеевна к.м.н., заведующая отделением црхп, врач онколог отделения биотерапии.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821933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219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79231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51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371600" cy="457200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2035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