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22 апреля 2022</w:t>
      </w:r>
    </w:p>
    <w:p w14:paraId="71BD6481" w14:textId="6A00E009" w:rsidRDefault="00FA1D20" w:rsidP="008611B5">
      <w:pPr>
        <w:pStyle w:val="ab"/>
      </w:pPr>
      <w:r>
        <w:t>Особенности работы  «Центра  разведения» Точность, Экономичность и  Безопасность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11:00–11:05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Приветственное слово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11:05–11:25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Презентация Петербургского онкоцентра</w:t>
            </w:r>
          </w:p>
          <w:p w14:paraId="6DA4934B" w14:textId="2CADACF3" w:rsidRDefault="005A133E" w:rsidP="00FA1D20">
            <w:r>
              <w:t>Моисеенко Владимир Михайлович, д.м.н., проф., Директор ГБУЗ «СПБ КНПЦ СВ МП (о)»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11:25–11:35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– ответы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11:35–12:00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«Организация работы отделения централизованного разведения химиопрепаратов»</w:t>
            </w:r>
          </w:p>
          <w:p w14:paraId="6DA4934B" w14:textId="2CADACF3" w:rsidRDefault="005A133E" w:rsidP="00FA1D20">
            <w:r>
              <w:t>Абдулоева Нуринисо Хамдуллоевна, к.м.н., заместитель директора по поликлинической помощи (?)ГБУЗ «СПБ КНПЦ СВ МП (о)».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12:00–12:05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– ответы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12:05–12:30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«Эффективность централизации разведения химиотерапевтических лекарственных препаратов в медицинской организации онкологического профиля»</w:t>
            </w:r>
          </w:p>
          <w:p w14:paraId="6DA4934B" w14:textId="2CADACF3" w:rsidRDefault="005A133E" w:rsidP="00FA1D20">
            <w:r>
              <w:t>Лешкевич Андрей Андреевич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12:30–12:35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– ответы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12:35–12:40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12:40–13:10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Экскурсия в отделение централизованного разведения химиопрепаратов Петербургского онкоцентра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13:10–13:50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13:50–14:00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Заключительное слово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055204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5539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199351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