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29 апреля 2022</w:t>
      </w:r>
    </w:p>
    <w:p w14:paraId="71BD6481" w14:textId="6A00E009" w:rsidRDefault="00FA1D20" w:rsidP="008611B5">
      <w:pPr>
        <w:pStyle w:val="ab"/>
      </w:pPr>
      <w:r>
        <w:t>Научно-практическая онлайн конференция «Практические аспекты терапии опухолей ЖКТ»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присутствия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приветственное слово</w:t>
            </w:r>
          </w:p>
          <w:p w14:paraId="6DA4934B" w14:textId="2CADACF3" w:rsidRDefault="005A133E" w:rsidP="00FA1D20">
            <w:r>
              <w:t>Федор Владимирович Моисеенко д.м.н., заведующий отделением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15:05-15:25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«Двойная иммунотерапия ​в лечении гепатоцеллюлярного рака»​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«БМС»</w:t>
            </w:r>
          </w:p>
          <w:p w14:paraId="6DA4934B" w14:textId="2CADACF3" w:rsidRDefault="005A133E" w:rsidP="00FA1D20">
            <w:r>
              <w:t>Вячеслав Андреевич Чубенко к.м.н., заведующий отделением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15:25-15:30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15:30-15:50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«Новое слово в терапии первой линии метастатического рака желудка»</w:t>
            </w:r>
          </w:p>
          <w:p w14:paraId="6DA4934B" w14:textId="2CADACF3" w:rsidRDefault="005A133E" w:rsidP="00FA1D20">
            <w:r>
              <w:t>Трякин Алексей Александрович проф., д.м.н., заместитель директора (НИИ КО) по научной работе НМИЦ Онкологии им. Н.Н. Блохина, заведующий химиотерапевтическим отделением №2.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15:50-15:55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15:55-16:15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«Двойная иммунотерапия метастатического колоректального рака  с высоким уровнем микросателлитной нестабильности (MSI-H)»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«БМС»</w:t>
            </w:r>
          </w:p>
          <w:p w14:paraId="6DA4934B" w14:textId="2CADACF3" w:rsidRDefault="005A133E" w:rsidP="00FA1D20">
            <w:r>
              <w:t>Федор Владимирович Моисеенко д.м.н., заведующий отделением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16:15-16:20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16:20-16:40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«Практический опыт применения  иммунотерапии в лечении опухолей ЖКТ»</w:t>
            </w:r>
          </w:p>
          <w:p w14:paraId="6DA4934B" w14:textId="2CADACF3" w:rsidRDefault="005A133E" w:rsidP="00FA1D20">
            <w:r>
              <w:t>Жабина Альбина Сергеевна к.м.н., врач-онколог отделения биотерапии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16:40-16:45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16:45-16:50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 «БМС»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16:50-17:00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