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24 июня 2023</w:t>
      </w:r>
    </w:p>
    <w:p w14:paraId="71BD6481" w14:textId="6A00E009" w:rsidRDefault="00FA1D20" w:rsidP="008611B5">
      <w:pPr>
        <w:pStyle w:val="ab"/>
      </w:pPr>
      <w:r>
        <w:t>Научно-практическая конференция "История онкологии"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хирургической онкологии»</w:t>
            </w:r>
          </w:p>
          <w:p w14:paraId="1B497F47" w14:textId="7011E34E" w:rsidRDefault="005A133E" w:rsidP="005A133E">
            <w:pPr>
              <w:pStyle w:val="a7"/>
            </w:pPr>
            <w:r>
              <w:t>В данной лекции будут рассмотрены наиболее важные события в истории хирургической онкологии, послужившие основой для формирования основных принципов лечения злокачественных опухолей. Автор раскроет предпосылки и основные тенденции оперативной хирургии, результаты которых имеют принципиальное значение и на сегодняшний день. Будут освещены и проанализированы современные методы локального лечения опухолей.</w:t>
            </w:r>
          </w:p>
          <w:p w14:paraId="6DA4934B" w14:textId="2CADACF3" w:rsidRDefault="005A133E" w:rsidP="00FA1D20">
            <w:r>
              <w:t>Проф. Мирошников Борис Иванович, д.м.н., ГБУЗ «Санкт-Петербургский клинический научно-практический центр специализированных видов медицинской помощи (онкологический) имени Н.П. 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гормонотерапии рака»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автор рассмотрит основные исторические тенденции лекарственной терапии злокачественных новообразований. Будут раскрыты основные пути синтеза, фармакокинетики и фармакодинамики, а также механизм действия гормональных лекарственных препаратов. В лекции будут продемонстрированы результаты ключевых клинических исследований данной группы и определено их место в клинической практике</w:t>
            </w:r>
          </w:p>
          <w:p w14:paraId="6DA4934B" w14:textId="2CADACF3" w:rsidRDefault="005A133E" w:rsidP="00FA1D20">
            <w:r>
              <w:t>Абдулоева Нуринисо Хамдулоевна, к.м.н., Заместитель директора по амбулаторно-поликлинической работе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химиотерапии»</w:t>
            </w:r>
          </w:p>
          <w:p w14:paraId="1B497F47" w14:textId="7011E34E" w:rsidRDefault="005A133E" w:rsidP="005A133E">
            <w:pPr>
              <w:pStyle w:val="a7"/>
            </w:pPr>
            <w:r>
              <w:t>Автор продемонстрирует основные теоретические предпосылки применения цитостатиков в онкологической практике. Раскроет их механизм действия и приведет результаты экспериментальных исследований. Осветит вопросы клинического применения данного метода и поделится результатами собственного опыта.</w:t>
            </w:r>
          </w:p>
          <w:p w14:paraId="6DA4934B" w14:textId="2CADACF3" w:rsidRDefault="005A133E" w:rsidP="00FA1D20">
            <w:r>
              <w:t>Проф. Горбунова Вера Андреевна, д.м.н., Главный научный консультант ФГБУ «НМИЦ онкологии им. Н.Н. Блохина» Минздрава РФ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таргетной терапии»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вопросы эффективности прецизионного метода лечения злокачественных опухолей. Автор осветит вопросы сигнальных путей в злокачественных клетках, поиска драйверных мутаций и познакомит с предпосылками развития таргетной терапии.</w:t>
            </w:r>
          </w:p>
          <w:p w14:paraId="6DA4934B" w14:textId="2CADACF3" w:rsidRDefault="005A133E" w:rsidP="00FA1D20">
            <w:r>
              <w:t>Герк Иван Александрович, Врач-онколог отделения лекарственной терапии солидных опухолей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12:20-12:35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иммунотерапии»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вопросы развития иммунотерапии злокачественных опухолей, принципы ее назначения и место в современной клинической практике. Будут продемонстрированы возможные пути преодоления иммунологической резистентности новообразований.</w:t>
            </w:r>
          </w:p>
          <w:p w14:paraId="6DA4934B" w14:textId="2CADACF3" w:rsidRDefault="005A133E" w:rsidP="00FA1D20">
            <w:r>
              <w:t>Член-корр РАН Моисеенко Владимир Михайлович, д.м.н., директор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13:20-13:50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«История радиотерапии»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раскрыты вопросы развития лучевой терапии злокачественных опухолей, предпосылки для ее развития и основные теоретические основы. Будут продемонстрированы возможные методы радиотерапии и их роль в реальной клинической практике</w:t>
            </w:r>
          </w:p>
          <w:p w14:paraId="6DA4934B" w14:textId="2CADACF3" w:rsidRDefault="005A133E" w:rsidP="00FA1D20">
            <w:r>
              <w:t>Кириллов Александр Владимирович, Заведующий отделением амбулаторного лечения с дневным стационаром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"Двойной удар по ГЦК. Первая линия терапии"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«Рош». Без зачисления баллов НМО</w:t>
            </w:r>
          </w:p>
          <w:p w14:paraId="6DA4934B" w14:textId="2CADACF3" w:rsidRDefault="005A133E" w:rsidP="00FA1D20">
            <w:r>
              <w:t>Крамчанинов Михаил Михайлович, Врач-онколог в составе Онкологического химиотерапевтического (противоопухолевой лекарственной терапии) биотерапии отделения,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14:20-14:35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«Современные возможности лекарственной терапии метастатического рака поджелудочной железы»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«Р-Фарм». Без зачисления баллов НМО.</w:t>
            </w:r>
          </w:p>
          <w:p w14:paraId="6DA4934B" w14:textId="2CADACF3" w:rsidRDefault="005A133E" w:rsidP="00FA1D20">
            <w:r>
              <w:t>Жабина Альбина Сергеевна, к.м.н., врач-онколог, заведующая отделением ЦРХП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14:35-14:50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«Оптимальный выбор терапии 1 линии мКРР»</w:t>
            </w:r>
          </w:p>
          <w:p w14:paraId="1B497F47" w14:textId="7011E34E" w:rsidRDefault="005A133E" w:rsidP="005A133E">
            <w:pPr>
              <w:pStyle w:val="a7"/>
            </w:pPr>
            <w:r>
              <w:t>При поддержке компании «Мерк». Без зачисления баллов НМО.</w:t>
            </w:r>
          </w:p>
          <w:p w14:paraId="6DA4934B" w14:textId="2CADACF3" w:rsidRDefault="005A133E" w:rsidP="00FA1D20">
            <w:r>
              <w:t>Крамчанинов Михаил Михайлович, Врач-онколог в составе Онкологического химиотерапевтического (противоопухолевой лекарственной терапии) биотерапии отделения, ГБУЗ «Санкт-Петербургский клинический научно-практический центр специализированных видов медицинской помощи (онкологический) имени Н.П. Напалкова»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Подведение итогов. Закрытие школы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